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DA" w:rsidRPr="009256DA" w:rsidRDefault="009256DA" w:rsidP="009256DA">
      <w:pPr>
        <w:pStyle w:val="NormalWeb"/>
        <w:spacing w:before="0" w:beforeAutospacing="0" w:after="0" w:afterAutospacing="0"/>
        <w:jc w:val="center"/>
        <w:rPr>
          <w:rFonts w:ascii="Verdana" w:hAnsi="Verdana"/>
          <w:color w:val="000000"/>
          <w:sz w:val="28"/>
          <w:szCs w:val="28"/>
        </w:rPr>
      </w:pPr>
      <w:r>
        <w:rPr>
          <w:noProof/>
        </w:rPr>
        <w:drawing>
          <wp:anchor distT="0" distB="0" distL="114300" distR="114300" simplePos="0" relativeHeight="251659264" behindDoc="1" locked="0" layoutInCell="1" allowOverlap="1">
            <wp:simplePos x="0" y="0"/>
            <wp:positionH relativeFrom="margin">
              <wp:posOffset>4867275</wp:posOffset>
            </wp:positionH>
            <wp:positionV relativeFrom="margin">
              <wp:posOffset>9525</wp:posOffset>
            </wp:positionV>
            <wp:extent cx="1114425" cy="1114425"/>
            <wp:effectExtent l="0" t="0" r="9525" b="9525"/>
            <wp:wrapNone/>
            <wp:docPr id="2" name="Picture 2" descr="https://forestofreading.com/wp-content/uploads/2021/07/06_FOR_Seals_White_Pine_RGB-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estofreading.com/wp-content/uploads/2021/07/06_FOR_Seals_White_Pine_RGB-150x1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82345" cy="1472783"/>
            <wp:effectExtent l="0" t="0" r="8255" b="0"/>
            <wp:wrapNone/>
            <wp:docPr id="1" name="Picture 1" descr="https://forestofreading.com/wp-content/uploads/2023/10/06-White-Pine-Dragging-Mason-Country-Campbell-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stofreading.com/wp-content/uploads/2023/10/06-White-Pine-Dragging-Mason-Country-Campbell-683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1472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6DA">
        <w:rPr>
          <w:rFonts w:ascii="Verdana" w:hAnsi="Verdana"/>
          <w:color w:val="000000"/>
          <w:sz w:val="28"/>
          <w:szCs w:val="28"/>
        </w:rPr>
        <w:t>Dragging Mason County</w:t>
      </w: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r w:rsidRPr="009256DA">
        <w:rPr>
          <w:rFonts w:ascii="Verdana" w:hAnsi="Verdana"/>
          <w:color w:val="000000"/>
          <w:sz w:val="28"/>
          <w:szCs w:val="28"/>
        </w:rPr>
        <w:t>Activity #</w:t>
      </w:r>
      <w:r w:rsidR="006C0CCE">
        <w:rPr>
          <w:rFonts w:ascii="Verdana" w:hAnsi="Verdana"/>
          <w:color w:val="000000"/>
          <w:sz w:val="28"/>
          <w:szCs w:val="28"/>
        </w:rPr>
        <w:t>4</w:t>
      </w:r>
      <w:r w:rsidRPr="009256DA">
        <w:rPr>
          <w:rFonts w:ascii="Verdana" w:hAnsi="Verdana"/>
          <w:color w:val="000000"/>
          <w:sz w:val="28"/>
          <w:szCs w:val="28"/>
        </w:rPr>
        <w:t xml:space="preserve"> – </w:t>
      </w:r>
      <w:r w:rsidR="006C0CCE">
        <w:rPr>
          <w:rFonts w:ascii="Verdana" w:hAnsi="Verdana"/>
          <w:color w:val="000000"/>
          <w:sz w:val="28"/>
          <w:szCs w:val="28"/>
        </w:rPr>
        <w:t>Research Question</w:t>
      </w:r>
    </w:p>
    <w:p w:rsidR="00CA386C" w:rsidRDefault="00DF0DFA"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EA1F9D" w:rsidRDefault="006C0CCE" w:rsidP="00474CBD">
      <w:pPr>
        <w:rPr>
          <w:rFonts w:ascii="Noto Sans" w:hAnsi="Noto Sans" w:cs="Noto Sans"/>
          <w:sz w:val="28"/>
          <w:szCs w:val="28"/>
          <w:shd w:val="clear" w:color="auto" w:fill="FFFFFF"/>
        </w:rPr>
      </w:pPr>
      <w:r w:rsidRPr="00EA1F9D">
        <w:rPr>
          <w:rFonts w:ascii="Noto Sans" w:hAnsi="Noto Sans" w:cs="Noto Sans"/>
          <w:sz w:val="28"/>
          <w:szCs w:val="28"/>
        </w:rPr>
        <w:t xml:space="preserve">There are many identities contained within the 2SLGBTQ+ acronym. The acronym itself is not standard across all peoples and places. </w:t>
      </w:r>
      <w:r w:rsidR="001448FC" w:rsidRPr="00EA1F9D">
        <w:rPr>
          <w:rFonts w:ascii="Noto Sans" w:hAnsi="Noto Sans" w:cs="Noto Sans"/>
          <w:sz w:val="28"/>
          <w:szCs w:val="28"/>
        </w:rPr>
        <w:t xml:space="preserve">Some just use LGBTQ+. Some use </w:t>
      </w:r>
      <w:r w:rsidR="001448FC" w:rsidRPr="00EA1F9D">
        <w:rPr>
          <w:rFonts w:ascii="Noto Sans" w:hAnsi="Noto Sans" w:cs="Noto Sans"/>
          <w:sz w:val="28"/>
          <w:szCs w:val="28"/>
          <w:shd w:val="clear" w:color="auto" w:fill="FFFFFF"/>
        </w:rPr>
        <w:t>LGBTTIQQ2SAA. Some people like to use the word “queer” in an act of reclaiming the word. Others prefer not to use it. There is no one size fits all when speaking of gender and sexual identity.</w:t>
      </w:r>
    </w:p>
    <w:p w:rsidR="00EA1F9D" w:rsidRDefault="00EA1F9D" w:rsidP="00474CBD">
      <w:pPr>
        <w:rPr>
          <w:rFonts w:ascii="Noto Sans" w:hAnsi="Noto Sans" w:cs="Noto Sans"/>
          <w:sz w:val="28"/>
          <w:szCs w:val="28"/>
          <w:shd w:val="clear" w:color="auto" w:fill="FFFFFF"/>
        </w:rPr>
      </w:pPr>
    </w:p>
    <w:p w:rsidR="00EA1F9D" w:rsidRDefault="00EA1F9D" w:rsidP="00474CBD">
      <w:pPr>
        <w:rPr>
          <w:rFonts w:ascii="Noto Sans" w:hAnsi="Noto Sans" w:cs="Noto Sans"/>
          <w:sz w:val="28"/>
          <w:szCs w:val="28"/>
          <w:shd w:val="clear" w:color="auto" w:fill="FFFFFF"/>
        </w:rPr>
      </w:pPr>
      <w:r>
        <w:rPr>
          <w:rFonts w:ascii="Noto Sans" w:hAnsi="Noto Sans" w:cs="Noto Sans"/>
          <w:sz w:val="28"/>
          <w:szCs w:val="28"/>
          <w:shd w:val="clear" w:color="auto" w:fill="FFFFFF"/>
        </w:rPr>
        <w:t xml:space="preserve">This article from the CBC </w:t>
      </w:r>
      <w:r w:rsidR="00DF0DFA">
        <w:rPr>
          <w:rFonts w:ascii="Noto Sans" w:hAnsi="Noto Sans" w:cs="Noto Sans"/>
          <w:sz w:val="28"/>
          <w:szCs w:val="28"/>
          <w:shd w:val="clear" w:color="auto" w:fill="FFFFFF"/>
        </w:rPr>
        <w:t>talks about the different versions of the acronym and what the letters represent:</w:t>
      </w:r>
    </w:p>
    <w:p w:rsidR="00DF0DFA" w:rsidRDefault="00DF0DFA" w:rsidP="00474CBD">
      <w:pPr>
        <w:rPr>
          <w:rFonts w:ascii="Noto Sans" w:hAnsi="Noto Sans" w:cs="Noto Sans"/>
          <w:sz w:val="28"/>
          <w:szCs w:val="28"/>
          <w:shd w:val="clear" w:color="auto" w:fill="FFFFFF"/>
        </w:rPr>
      </w:pPr>
      <w:hyperlink r:id="rId8" w:history="1">
        <w:r w:rsidRPr="006774DF">
          <w:rPr>
            <w:rStyle w:val="Hyperlink"/>
            <w:rFonts w:ascii="Noto Sans" w:hAnsi="Noto Sans" w:cs="Noto Sans"/>
            <w:sz w:val="28"/>
            <w:szCs w:val="28"/>
            <w:shd w:val="clear" w:color="auto" w:fill="FFFFFF"/>
          </w:rPr>
          <w:t>https://www.cbc.ca/news/canada/lgbtq-queer-sexual-diversity-pride-labels-acronym-1.3661094</w:t>
        </w:r>
      </w:hyperlink>
    </w:p>
    <w:p w:rsidR="00DF0DFA" w:rsidRDefault="00DF0DFA" w:rsidP="00474CBD">
      <w:pPr>
        <w:rPr>
          <w:rFonts w:ascii="Noto Sans" w:hAnsi="Noto Sans" w:cs="Noto Sans"/>
          <w:sz w:val="28"/>
          <w:szCs w:val="28"/>
          <w:shd w:val="clear" w:color="auto" w:fill="FFFFFF"/>
        </w:rPr>
      </w:pPr>
    </w:p>
    <w:p w:rsidR="001448FC" w:rsidRDefault="00DF0DFA" w:rsidP="00DF0DFA">
      <w:pPr>
        <w:rPr>
          <w:rFonts w:ascii="Noto Sans" w:hAnsi="Noto Sans" w:cs="Noto Sans"/>
          <w:sz w:val="28"/>
          <w:szCs w:val="28"/>
          <w:shd w:val="clear" w:color="auto" w:fill="FFFFFF"/>
        </w:rPr>
      </w:pPr>
      <w:r>
        <w:rPr>
          <w:rFonts w:ascii="Noto Sans" w:hAnsi="Noto Sans" w:cs="Noto Sans"/>
          <w:sz w:val="28"/>
          <w:szCs w:val="28"/>
          <w:shd w:val="clear" w:color="auto" w:fill="FFFFFF"/>
        </w:rPr>
        <w:t xml:space="preserve">Using resources available to you, such as books, periodicals, or internet websites, choose one of the letters from the acronyms mentioned and research what it means. Did you discover new information you didn’t already know? Present your findings to the group if possible. </w:t>
      </w:r>
    </w:p>
    <w:p w:rsidR="00DF0DFA" w:rsidRDefault="00DF0DFA" w:rsidP="00DF0DFA">
      <w:pPr>
        <w:rPr>
          <w:rFonts w:ascii="Noto Sans" w:hAnsi="Noto Sans" w:cs="Noto Sans"/>
          <w:sz w:val="28"/>
          <w:szCs w:val="28"/>
          <w:shd w:val="clear" w:color="auto" w:fill="FFFFFF"/>
        </w:rPr>
      </w:pPr>
    </w:p>
    <w:p w:rsidR="00DF0DFA" w:rsidRDefault="00DF0DFA" w:rsidP="00DF0DFA">
      <w:pPr>
        <w:rPr>
          <w:rFonts w:ascii="Noto Sans" w:hAnsi="Noto Sans" w:cs="Noto Sans"/>
          <w:sz w:val="28"/>
          <w:szCs w:val="28"/>
          <w:shd w:val="clear" w:color="auto" w:fill="FFFFFF"/>
        </w:rPr>
      </w:pPr>
      <w:r>
        <w:rPr>
          <w:rFonts w:ascii="Noto Sans" w:hAnsi="Noto Sans" w:cs="Noto Sans"/>
          <w:sz w:val="28"/>
          <w:szCs w:val="28"/>
          <w:shd w:val="clear" w:color="auto" w:fill="FFFFFF"/>
        </w:rPr>
        <w:t>Some online resources you could use to get started would be:</w:t>
      </w:r>
    </w:p>
    <w:p w:rsidR="00DF0DFA" w:rsidRDefault="00DF0DFA" w:rsidP="00DF0DFA">
      <w:pPr>
        <w:rPr>
          <w:rFonts w:ascii="Noto Sans" w:hAnsi="Noto Sans" w:cs="Noto Sans"/>
          <w:sz w:val="28"/>
          <w:szCs w:val="28"/>
          <w:shd w:val="clear" w:color="auto" w:fill="FFFFFF"/>
        </w:rPr>
      </w:pPr>
    </w:p>
    <w:p w:rsidR="00DF0DFA" w:rsidRDefault="00DF0DFA" w:rsidP="00DF0DFA">
      <w:pPr>
        <w:rPr>
          <w:rFonts w:ascii="Noto Sans" w:hAnsi="Noto Sans" w:cs="Noto Sans"/>
          <w:sz w:val="28"/>
          <w:szCs w:val="28"/>
          <w:shd w:val="clear" w:color="auto" w:fill="FFFFFF"/>
          <w:lang w:val="it-IT"/>
        </w:rPr>
      </w:pPr>
      <w:r w:rsidRPr="00DF0DFA">
        <w:rPr>
          <w:rFonts w:ascii="Noto Sans" w:hAnsi="Noto Sans" w:cs="Noto Sans"/>
          <w:sz w:val="28"/>
          <w:szCs w:val="28"/>
          <w:shd w:val="clear" w:color="auto" w:fill="FFFFFF"/>
          <w:lang w:val="it-IT"/>
        </w:rPr>
        <w:t xml:space="preserve">Egale - </w:t>
      </w:r>
      <w:hyperlink r:id="rId9" w:history="1">
        <w:r w:rsidRPr="006774DF">
          <w:rPr>
            <w:rStyle w:val="Hyperlink"/>
            <w:rFonts w:ascii="Noto Sans" w:hAnsi="Noto Sans" w:cs="Noto Sans"/>
            <w:sz w:val="28"/>
            <w:szCs w:val="28"/>
            <w:shd w:val="clear" w:color="auto" w:fill="FFFFFF"/>
            <w:lang w:val="it-IT"/>
          </w:rPr>
          <w:t>https://egale.ca/awareness/terms-and-definitions/</w:t>
        </w:r>
      </w:hyperlink>
    </w:p>
    <w:p w:rsidR="00DF0DFA" w:rsidRDefault="00DF0DFA" w:rsidP="00DF0DFA">
      <w:pPr>
        <w:rPr>
          <w:rFonts w:ascii="Noto Sans" w:hAnsi="Noto Sans" w:cs="Noto Sans"/>
          <w:sz w:val="28"/>
          <w:szCs w:val="28"/>
          <w:shd w:val="clear" w:color="auto" w:fill="FFFFFF"/>
        </w:rPr>
      </w:pPr>
      <w:r w:rsidRPr="00DF0DFA">
        <w:rPr>
          <w:rFonts w:ascii="Noto Sans" w:hAnsi="Noto Sans" w:cs="Noto Sans"/>
          <w:sz w:val="28"/>
          <w:szCs w:val="28"/>
          <w:shd w:val="clear" w:color="auto" w:fill="FFFFFF"/>
        </w:rPr>
        <w:t xml:space="preserve">Government of Canada - </w:t>
      </w:r>
      <w:hyperlink r:id="rId10" w:history="1">
        <w:r w:rsidRPr="006774DF">
          <w:rPr>
            <w:rStyle w:val="Hyperlink"/>
            <w:rFonts w:ascii="Noto Sans" w:hAnsi="Noto Sans" w:cs="Noto Sans"/>
            <w:sz w:val="28"/>
            <w:szCs w:val="28"/>
            <w:shd w:val="clear" w:color="auto" w:fill="FFFFFF"/>
          </w:rPr>
          <w:t>https://women-gender-equality.canada.ca/en/free-to-be-me/2slgbtqi-plus-glossary.html</w:t>
        </w:r>
      </w:hyperlink>
    </w:p>
    <w:p w:rsidR="00DF0DFA" w:rsidRPr="00DF0DFA" w:rsidRDefault="00DF0DFA" w:rsidP="00DF0DFA">
      <w:pPr>
        <w:rPr>
          <w:rFonts w:ascii="Noto Sans" w:hAnsi="Noto Sans" w:cs="Noto Sans"/>
          <w:sz w:val="28"/>
          <w:szCs w:val="28"/>
          <w:shd w:val="clear" w:color="auto" w:fill="FFFFFF"/>
        </w:rPr>
      </w:pPr>
    </w:p>
    <w:p w:rsidR="00DF0DFA" w:rsidRPr="00DF0DFA" w:rsidRDefault="00DF0DFA" w:rsidP="00DF0DFA">
      <w:pPr>
        <w:rPr>
          <w:rFonts w:ascii="Noto Sans" w:hAnsi="Noto Sans" w:cs="Noto Sans"/>
          <w:sz w:val="28"/>
          <w:szCs w:val="28"/>
          <w:shd w:val="clear" w:color="auto" w:fill="FFFFFF"/>
        </w:rPr>
      </w:pPr>
      <w:bookmarkStart w:id="0" w:name="_GoBack"/>
      <w:bookmarkEnd w:id="0"/>
    </w:p>
    <w:sectPr w:rsidR="00DF0DFA" w:rsidRPr="00DF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02FF" w:usb1="4000201F" w:usb2="0800002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53489"/>
    <w:multiLevelType w:val="hybridMultilevel"/>
    <w:tmpl w:val="8D4AC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DA"/>
    <w:rsid w:val="001448FC"/>
    <w:rsid w:val="00194112"/>
    <w:rsid w:val="00474CBD"/>
    <w:rsid w:val="005945BF"/>
    <w:rsid w:val="006C0CCE"/>
    <w:rsid w:val="00765A89"/>
    <w:rsid w:val="008F1232"/>
    <w:rsid w:val="009256DA"/>
    <w:rsid w:val="00A24BDC"/>
    <w:rsid w:val="00C81A6E"/>
    <w:rsid w:val="00DF0DFA"/>
    <w:rsid w:val="00E41C54"/>
    <w:rsid w:val="00EA1F9D"/>
    <w:rsid w:val="00EB2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9F5"/>
  <w15:chartTrackingRefBased/>
  <w15:docId w15:val="{BD2BCDA9-6D00-44D6-82A3-6FEFF6E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6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6DA"/>
    <w:pPr>
      <w:ind w:left="720"/>
      <w:contextualSpacing/>
    </w:pPr>
  </w:style>
  <w:style w:type="character" w:styleId="Hyperlink">
    <w:name w:val="Hyperlink"/>
    <w:basedOn w:val="DefaultParagraphFont"/>
    <w:uiPriority w:val="99"/>
    <w:unhideWhenUsed/>
    <w:rsid w:val="00DF0DFA"/>
    <w:rPr>
      <w:color w:val="0563C1" w:themeColor="hyperlink"/>
      <w:u w:val="single"/>
    </w:rPr>
  </w:style>
  <w:style w:type="character" w:styleId="UnresolvedMention">
    <w:name w:val="Unresolved Mention"/>
    <w:basedOn w:val="DefaultParagraphFont"/>
    <w:uiPriority w:val="99"/>
    <w:semiHidden/>
    <w:unhideWhenUsed/>
    <w:rsid w:val="00DF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lgbtq-queer-sexual-diversity-pride-labels-acronym-1.366109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omen-gender-equality.canada.ca/en/free-to-be-me/2slgbtqi-plus-glossary.html" TargetMode="External"/><Relationship Id="rId4" Type="http://schemas.openxmlformats.org/officeDocument/2006/relationships/settings" Target="settings.xml"/><Relationship Id="rId9" Type="http://schemas.openxmlformats.org/officeDocument/2006/relationships/hyperlink" Target="https://egale.ca/awareness/terms-and-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CB5C-3507-4F63-8D9A-C6E4F43B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 Mobile Tech</dc:creator>
  <cp:keywords/>
  <dc:description/>
  <cp:lastModifiedBy>TPL Mobile Tech</cp:lastModifiedBy>
  <cp:revision>3</cp:revision>
  <dcterms:created xsi:type="dcterms:W3CDTF">2023-11-08T22:55:00Z</dcterms:created>
  <dcterms:modified xsi:type="dcterms:W3CDTF">2023-11-10T00:16:00Z</dcterms:modified>
</cp:coreProperties>
</file>