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8.999999999998" w:type="dxa"/>
        <w:jc w:val="left"/>
        <w:tblInd w:w="-216.0" w:type="dxa"/>
        <w:tblLayout w:type="fixed"/>
        <w:tblLook w:val="0000"/>
      </w:tblPr>
      <w:tblGrid>
        <w:gridCol w:w="5529"/>
        <w:gridCol w:w="1088"/>
        <w:gridCol w:w="4372"/>
        <w:tblGridChange w:id="0">
          <w:tblGrid>
            <w:gridCol w:w="5529"/>
            <w:gridCol w:w="1088"/>
            <w:gridCol w:w="43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</w:rPr>
              <w:drawing>
                <wp:inline distB="0" distT="0" distL="114300" distR="114300">
                  <wp:extent cx="3380740" cy="1052830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0740" cy="1052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Overlock" w:cs="Overlock" w:eastAsia="Overlock" w:hAnsi="Overlock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32"/>
                <w:szCs w:val="32"/>
                <w:vertAlign w:val="baseline"/>
                <w:rtl w:val="0"/>
              </w:rPr>
              <w:t xml:space="preserve">Nom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_____________________________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vertAlign w:val="baseline"/>
                <w:rtl w:val="0"/>
              </w:rPr>
              <w:t xml:space="preserve">Plan de jeu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C’est à ton tour de créer un jeu de réalité augmentée. Dans quel monde veux-tu plonger les joueurs ? N’oublie pas – il faut une quête, mais elle ne doit pas nécessairement être violente.</w:t>
      </w:r>
    </w:p>
    <w:tbl>
      <w:tblPr>
        <w:tblStyle w:val="Table2"/>
        <w:tblW w:w="10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4253"/>
        <w:gridCol w:w="4878"/>
        <w:tblGridChange w:id="0">
          <w:tblGrid>
            <w:gridCol w:w="1809"/>
            <w:gridCol w:w="4253"/>
            <w:gridCol w:w="48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SCIA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(Système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ontrôle d’intelligence artificielle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Ton jeu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 lieu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 centre scientifique le plus avancé du Québec, un boisé, une clairière avec des bâtiments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 temps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Présent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Les meneurs de jeu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 maître – garantit la sécurité des participants, voit tout et peut communiquer avec les participants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La gardienne – vérifie que le jeu se déroule bien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Héros (joueurs)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Chasseurs de gobelins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Ennemis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Gobelins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But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Capturer le plus de gobelins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 danger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Se faire tirer par les gobelins ou les autres joueurs et perdre des points de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Les primes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Pommes virtuelles pour récupérer des points de vie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 costume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Combinaison noire avec des capteurs.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Les accessoires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Pistolet à impulsion magnétique, gants sensoriels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LI5ewlYtFpaxOptfUA5Jzx91A==">CgMxLjA4AHIhMXoyNHhiMUpQank5ZW5OYUt0eHdUczdSQXJ3ZTRqbDVO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2023-10-15T16:38:00Z</dcterms:created>
  <dc:creator>Habel, Veronique</dc:creator>
</cp:coreProperties>
</file>