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Dancing in Small Spaces: One Couple’s Journey with Parkinson’s Disease and Lewy Body Dementia by Leslie A. Davidson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SHELF TALKER HERE </w:t>
      </w:r>
      <w:r w:rsidDel="00000000" w:rsidR="00000000" w:rsidRPr="00000000">
        <w:rPr>
          <w:rtl w:val="0"/>
        </w:rPr>
        <w:t xml:space="preserve">(Basic elevator pitch - 30 seconds)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In Dancing in Small Spaces, Leslie Davidson tells the story of her marriage to Lincoln Ford, during the time in which they received the double diagnosis that would cut Lincoln’s life short, and dramatically alter hers.  Theirs is a love story, told beautifully by Leslie, documenting the great challenges they encountered, but also the deep love and commitment they had for each other.  Davidson manages to weave humour and wit into a very touching memoir about grief, loss, and what it means to truly love. Dancing in Small Spaces tells a very human story that will resonate; you will be thinking about Leslie and Lincoln for a long time after the final page has been read.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If you liked Dancing in Small Spaces you may like: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What Remains of Elsie Jane by Chelsea Wakelyn</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Pacifique by Sarah Taggart</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Snow Road Station by Elizabeth Hay</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The Marriage of Rose Camilleri</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The Light Streamed Beneath It: A Memoir of Grief and Celebration by Shawn Hitchins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Any Kind of Luck At All by Mary Fairhurst Breen</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The Book of Malcolm: My Son’s Life with Schizophrenia by Stuart Ross</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Only Sisters by Lillian Nattel</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