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The Halifax Explosion and The Canadian Museum for Human Rights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Date: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Africville was a vibrant community that existed for a long time. Take some time to read through the information about Africville found on </w:t>
      </w:r>
      <w:hyperlink r:id="rId6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The Canadian Museum for Human Rights</w:t>
        </w:r>
      </w:hyperlink>
      <w:r w:rsidDel="00000000" w:rsidR="00000000" w:rsidRPr="00000000">
        <w:rPr>
          <w:sz w:val="24"/>
          <w:szCs w:val="24"/>
          <w:rtl w:val="0"/>
        </w:rPr>
        <w:t xml:space="preserve"> website. The answer the following questions, three of which come from this website.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What important past events still affect my community today?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How can I get involved in decisions that affect my community?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Whose stories are left out of local or national history?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0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4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How does Dr. Aufa Cooper's poem bring attention to the impact of historical events on African-Nova Scotians and residents of Africville?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9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D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1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5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umanrights.ca/story/story-africville#:~:text=Africville%20was%20a%20primarily%20Black,exist%20for%20over%20120%20years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