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inline distB="114300" distT="114300" distL="114300" distR="114300">
                <wp:extent cx="6858000" cy="4457700"/>
                <wp:effectExtent b="0" l="0" r="0" t="0"/>
                <wp:docPr id="3" name=""/>
                <a:graphic>
                  <a:graphicData uri="http://schemas.microsoft.com/office/word/2010/wordprocessingGroup">
                    <wpg:wgp>
                      <wpg:cNvGrpSpPr/>
                      <wpg:grpSpPr>
                        <a:xfrm>
                          <a:off x="1917000" y="1551150"/>
                          <a:ext cx="6858000" cy="4457700"/>
                          <a:chOff x="1917000" y="1551150"/>
                          <a:chExt cx="6858000" cy="4457700"/>
                        </a:xfrm>
                      </wpg:grpSpPr>
                      <wpg:grpSp>
                        <wpg:cNvGrpSpPr/>
                        <wpg:grpSpPr>
                          <a:xfrm>
                            <a:off x="1917000" y="1551150"/>
                            <a:ext cx="6858000" cy="4457700"/>
                            <a:chOff x="1912225" y="1551150"/>
                            <a:chExt cx="6862800" cy="4457700"/>
                          </a:xfrm>
                        </wpg:grpSpPr>
                        <wps:wsp>
                          <wps:cNvSpPr/>
                          <wps:cNvPr id="3" name="Shape 3"/>
                          <wps:spPr>
                            <a:xfrm>
                              <a:off x="1912225" y="1551150"/>
                              <a:ext cx="6862800" cy="445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1551150"/>
                              <a:ext cx="6858000" cy="4457700"/>
                              <a:chOff x="0" y="68850"/>
                              <a:chExt cx="6854775" cy="4444975"/>
                            </a:xfrm>
                          </wpg:grpSpPr>
                          <wps:wsp>
                            <wps:cNvSpPr/>
                            <wps:cNvPr id="5" name="Shape 5"/>
                            <wps:spPr>
                              <a:xfrm>
                                <a:off x="0" y="68850"/>
                                <a:ext cx="6854775" cy="4444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324525"/>
                                <a:ext cx="2822700" cy="1386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3122425"/>
                                <a:ext cx="2822700" cy="1386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520600" y="1782563"/>
                                <a:ext cx="1514700" cy="12882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958350" y="344300"/>
                                <a:ext cx="2822700" cy="1386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958350" y="3122450"/>
                                <a:ext cx="2822700" cy="13866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16350" y="68850"/>
                                <a:ext cx="23043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Definition (in your own words)</w:t>
                                  </w:r>
                                </w:p>
                              </w:txbxContent>
                            </wps:txbx>
                            <wps:bodyPr anchorCtr="0" anchor="t" bIns="91425" lIns="91425" spcFirstLastPara="1" rIns="91425" wrap="square" tIns="91425">
                              <a:noAutofit/>
                            </wps:bodyPr>
                          </wps:wsp>
                          <wps:wsp>
                            <wps:cNvSpPr/>
                            <wps:cNvPr id="12" name="Shape 12"/>
                            <wps:spPr>
                              <a:xfrm>
                                <a:off x="2065275" y="265525"/>
                                <a:ext cx="478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13" name="Shape 13"/>
                            <wps:spPr>
                              <a:xfrm>
                                <a:off x="4317400" y="68850"/>
                                <a:ext cx="22422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Characteristics</w:t>
                                  </w:r>
                                </w:p>
                              </w:txbxContent>
                            </wps:txbx>
                            <wps:bodyPr anchorCtr="0" anchor="t" bIns="91425" lIns="91425" spcFirstLastPara="1" rIns="91425" wrap="square" tIns="91425">
                              <a:noAutofit/>
                            </wps:bodyPr>
                          </wps:wsp>
                          <wps:wsp>
                            <wps:cNvSpPr/>
                            <wps:cNvPr id="14" name="Shape 14"/>
                            <wps:spPr>
                              <a:xfrm>
                                <a:off x="452400" y="2783725"/>
                                <a:ext cx="1681800" cy="338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Examples</w:t>
                                  </w:r>
                                </w:p>
                              </w:txbxContent>
                            </wps:txbx>
                            <wps:bodyPr anchorCtr="0" anchor="t" bIns="91425" lIns="91425" spcFirstLastPara="1" rIns="91425" wrap="square" tIns="91425">
                              <a:noAutofit/>
                            </wps:bodyPr>
                          </wps:wsp>
                          <wps:wsp>
                            <wps:cNvSpPr/>
                            <wps:cNvPr id="15" name="Shape 15"/>
                            <wps:spPr>
                              <a:xfrm>
                                <a:off x="4627100" y="2776075"/>
                                <a:ext cx="12294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Non-examples</w:t>
                                  </w:r>
                                </w:p>
                              </w:txbxContent>
                            </wps:txbx>
                            <wps:bodyPr anchorCtr="0" anchor="t" bIns="91425" lIns="91425" spcFirstLastPara="1" rIns="91425" wrap="square" tIns="91425">
                              <a:noAutofit/>
                            </wps:bodyPr>
                          </wps:wsp>
                          <wps:wsp>
                            <wps:cNvSpPr/>
                            <wps:cNvPr id="16" name="Shape 16"/>
                            <wps:spPr>
                              <a:xfrm>
                                <a:off x="3070875" y="1428575"/>
                                <a:ext cx="639300" cy="3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Word</w:t>
                                  </w:r>
                                </w:p>
                              </w:txbxContent>
                            </wps:txbx>
                            <wps:bodyPr anchorCtr="0" anchor="t" bIns="91425" lIns="91425" spcFirstLastPara="1" rIns="91425" wrap="square" tIns="91425">
                              <a:noAutofit/>
                            </wps:bodyPr>
                          </wps:wsp>
                        </wpg:grpSp>
                      </wpg:grpSp>
                    </wpg:wgp>
                  </a:graphicData>
                </a:graphic>
              </wp:inline>
            </w:drawing>
          </mc:Choice>
          <mc:Fallback>
            <w:drawing>
              <wp:inline distB="114300" distT="114300" distL="114300" distR="114300">
                <wp:extent cx="6858000" cy="4457700"/>
                <wp:effectExtent b="0" l="0" r="0" 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58000" cy="4457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color w:val="333333"/>
          <w:sz w:val="23"/>
          <w:szCs w:val="23"/>
          <w:shd w:fill="fafafa" w:val="clear"/>
        </w:rPr>
      </w:pPr>
      <w:r w:rsidDel="00000000" w:rsidR="00000000" w:rsidRPr="00000000">
        <w:rPr>
          <w:rFonts w:ascii="Comic Sans MS" w:cs="Comic Sans MS" w:eastAsia="Comic Sans MS" w:hAnsi="Comic Sans MS"/>
          <w:color w:val="333333"/>
          <w:sz w:val="23"/>
          <w:szCs w:val="23"/>
          <w:shd w:fill="fafafa" w:val="clear"/>
          <w:rtl w:val="0"/>
        </w:rPr>
        <w:t xml:space="preserve">Teacher Notes</w:t>
      </w:r>
    </w:p>
    <w:p w:rsidR="00000000" w:rsidDel="00000000" w:rsidP="00000000" w:rsidRDefault="00000000" w:rsidRPr="00000000" w14:paraId="00000005">
      <w:pPr>
        <w:rPr>
          <w:rFonts w:ascii="Comic Sans MS" w:cs="Comic Sans MS" w:eastAsia="Comic Sans MS" w:hAnsi="Comic Sans MS"/>
          <w:color w:val="333333"/>
          <w:sz w:val="23"/>
          <w:szCs w:val="23"/>
          <w:shd w:fill="fafafa" w:val="clear"/>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color w:val="333333"/>
          <w:sz w:val="23"/>
          <w:szCs w:val="23"/>
          <w:shd w:fill="fafafa" w:val="clear"/>
        </w:rPr>
      </w:pPr>
      <w:r w:rsidDel="00000000" w:rsidR="00000000" w:rsidRPr="00000000">
        <w:rPr>
          <w:rFonts w:ascii="Comic Sans MS" w:cs="Comic Sans MS" w:eastAsia="Comic Sans MS" w:hAnsi="Comic Sans MS"/>
          <w:color w:val="333333"/>
          <w:sz w:val="23"/>
          <w:szCs w:val="23"/>
          <w:shd w:fill="fafafa" w:val="clear"/>
          <w:rtl w:val="0"/>
        </w:rPr>
        <w:t xml:space="preserve">The Frayer Model is a graphic organizer for building student vocabulary. This technique requires students to define target vocabulary and apply their knowledge by generating examples and non-examples, giving characteristics, and/or drawing a picture to illustrate the meaning of the word. This information is placed on a chart that is divided into four sections to provide a visual representation for students (</w:t>
      </w:r>
      <w:hyperlink r:id="rId8">
        <w:r w:rsidDel="00000000" w:rsidR="00000000" w:rsidRPr="00000000">
          <w:rPr>
            <w:rFonts w:ascii="Comic Sans MS" w:cs="Comic Sans MS" w:eastAsia="Comic Sans MS" w:hAnsi="Comic Sans MS"/>
            <w:color w:val="1155cc"/>
            <w:sz w:val="23"/>
            <w:szCs w:val="23"/>
            <w:u w:val="single"/>
            <w:shd w:fill="fafafa" w:val="clear"/>
            <w:rtl w:val="0"/>
          </w:rPr>
          <w:t xml:space="preserve">https://www.theteachertoolkit.com/index.php/tool/frayer-model</w:t>
        </w:r>
      </w:hyperlink>
      <w:r w:rsidDel="00000000" w:rsidR="00000000" w:rsidRPr="00000000">
        <w:rPr>
          <w:rFonts w:ascii="Comic Sans MS" w:cs="Comic Sans MS" w:eastAsia="Comic Sans MS" w:hAnsi="Comic Sans MS"/>
          <w:color w:val="333333"/>
          <w:sz w:val="23"/>
          <w:szCs w:val="23"/>
          <w:shd w:fill="fafafa" w:val="clear"/>
          <w:rtl w:val="0"/>
        </w:rPr>
        <w:t xml:space="preserve">)</w:t>
      </w:r>
    </w:p>
    <w:p w:rsidR="00000000" w:rsidDel="00000000" w:rsidP="00000000" w:rsidRDefault="00000000" w:rsidRPr="00000000" w14:paraId="00000007">
      <w:pPr>
        <w:rPr>
          <w:rFonts w:ascii="Comic Sans MS" w:cs="Comic Sans MS" w:eastAsia="Comic Sans MS" w:hAnsi="Comic Sans MS"/>
          <w:color w:val="333333"/>
          <w:sz w:val="23"/>
          <w:szCs w:val="23"/>
          <w:shd w:fill="fafafa" w:val="clear"/>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color w:val="333333"/>
          <w:sz w:val="23"/>
          <w:szCs w:val="23"/>
          <w:shd w:fill="fafafa" w:val="clear"/>
        </w:rPr>
      </w:pPr>
      <w:r w:rsidDel="00000000" w:rsidR="00000000" w:rsidRPr="00000000">
        <w:rPr>
          <w:rFonts w:ascii="Comic Sans MS" w:cs="Comic Sans MS" w:eastAsia="Comic Sans MS" w:hAnsi="Comic Sans MS"/>
          <w:color w:val="333333"/>
          <w:sz w:val="23"/>
          <w:szCs w:val="23"/>
          <w:shd w:fill="fafafa" w:val="clear"/>
          <w:rtl w:val="0"/>
        </w:rPr>
        <w:t xml:space="preserve">Please watch the teaching video with it. It explains the concept and provides a mini lesson.</w:t>
      </w:r>
    </w:p>
    <w:p w:rsidR="00000000" w:rsidDel="00000000" w:rsidP="00000000" w:rsidRDefault="00000000" w:rsidRPr="00000000" w14:paraId="00000009">
      <w:pPr>
        <w:rPr>
          <w:rFonts w:ascii="Comic Sans MS" w:cs="Comic Sans MS" w:eastAsia="Comic Sans MS" w:hAnsi="Comic Sans MS"/>
          <w:color w:val="333333"/>
          <w:sz w:val="23"/>
          <w:szCs w:val="23"/>
          <w:shd w:fill="fafafa" w:val="clear"/>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color w:val="333333"/>
          <w:sz w:val="23"/>
          <w:szCs w:val="23"/>
          <w:shd w:fill="fafafa" w:val="clear"/>
        </w:rPr>
      </w:pPr>
      <w:hyperlink r:id="rId9">
        <w:r w:rsidDel="00000000" w:rsidR="00000000" w:rsidRPr="00000000">
          <w:rPr>
            <w:color w:val="0000ee"/>
            <w:u w:val="single"/>
            <w:shd w:fill="auto" w:val="clear"/>
            <w:rtl w:val="0"/>
          </w:rPr>
          <w:t xml:space="preserve">Teacher Toolkit: Frayer Model (Elementary)</w:t>
        </w:r>
      </w:hyperlink>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color w:val="333333"/>
          <w:sz w:val="23"/>
          <w:szCs w:val="23"/>
          <w:shd w:fill="fafafa" w:val="clear"/>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color w:val="333333"/>
          <w:sz w:val="23"/>
          <w:szCs w:val="23"/>
          <w:shd w:fill="fafafa" w:val="clear"/>
        </w:rPr>
      </w:pPr>
      <w:r w:rsidDel="00000000" w:rsidR="00000000" w:rsidRPr="00000000">
        <w:rPr>
          <w:rFonts w:ascii="Comic Sans MS" w:cs="Comic Sans MS" w:eastAsia="Comic Sans MS" w:hAnsi="Comic Sans MS"/>
          <w:color w:val="333333"/>
          <w:sz w:val="23"/>
          <w:szCs w:val="23"/>
          <w:shd w:fill="fafafa" w:val="clear"/>
          <w:rtl w:val="0"/>
        </w:rPr>
        <w:t xml:space="preserve">Pick one of the vocabulary words in the timeline at the end of the book (e.g., mammals, Big Bang, Cambrian, reptiles, fish, stars)  and use the Frayer model to show the meaning of the word. You may use pictures to do this as well.</w:t>
      </w:r>
    </w:p>
    <w:p w:rsidR="00000000" w:rsidDel="00000000" w:rsidP="00000000" w:rsidRDefault="00000000" w:rsidRPr="00000000" w14:paraId="0000000D">
      <w:pPr>
        <w:rPr>
          <w:rFonts w:ascii="Comic Sans MS" w:cs="Comic Sans MS" w:eastAsia="Comic Sans MS" w:hAnsi="Comic Sans MS"/>
          <w:color w:val="333333"/>
          <w:sz w:val="23"/>
          <w:szCs w:val="23"/>
          <w:shd w:fill="fafafa" w:val="clear"/>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color w:val="333333"/>
          <w:sz w:val="23"/>
          <w:szCs w:val="23"/>
          <w:shd w:fill="fafafa" w:val="clear"/>
        </w:rPr>
      </w:pPr>
      <w:r w:rsidDel="00000000" w:rsidR="00000000" w:rsidRPr="00000000">
        <w:rPr>
          <w:rFonts w:ascii="Comic Sans MS" w:cs="Comic Sans MS" w:eastAsia="Comic Sans MS" w:hAnsi="Comic Sans MS"/>
          <w:color w:val="333333"/>
          <w:sz w:val="23"/>
          <w:szCs w:val="23"/>
          <w:shd w:fill="fafafa" w:val="clear"/>
          <w:rtl w:val="0"/>
        </w:rPr>
        <w:t xml:space="preserve">You may use the template provided or create your own using chart paper or legal size paper.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color w:val="333333"/>
          <w:sz w:val="23"/>
          <w:szCs w:val="23"/>
          <w:shd w:fill="fafafa" w:val="clear"/>
        </w:rPr>
      </w:pPr>
      <w:r w:rsidDel="00000000" w:rsidR="00000000" w:rsidRPr="00000000">
        <w:rPr>
          <w:rtl w:val="0"/>
        </w:rPr>
      </w:r>
    </w:p>
    <w:sectPr>
      <w:headerReference r:id="rId10"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Always Beginning: The Big Bang, the Universe, and You</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w:t>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w:t>
    </w:r>
  </w:p>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l2AjuMKVboQ&amp;t=202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theteachertoolkit.com/index.php/tool/fraye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fc7FY1VubaOVDqUQsSuL+uYPJg==">CgMxLjA4AHIhMTZ0bGQwUWVXczJjWWcxM2dnUGJDbGF0YVhlc29Lek5p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