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6DA" w:rsidRPr="009256DA" w:rsidRDefault="005C21F5" w:rsidP="005C21F5">
      <w:pPr>
        <w:pStyle w:val="NormalWeb"/>
        <w:tabs>
          <w:tab w:val="left" w:pos="510"/>
          <w:tab w:val="left" w:pos="765"/>
          <w:tab w:val="center" w:pos="4680"/>
        </w:tabs>
        <w:spacing w:before="0" w:beforeAutospacing="0" w:after="0" w:afterAutospacing="0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noProof/>
          <w:color w:val="000000"/>
          <w:sz w:val="28"/>
          <w:szCs w:val="28"/>
          <w:lang w:val="en-CA" w:eastAsia="en-C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57150</wp:posOffset>
            </wp:positionV>
            <wp:extent cx="981075" cy="1466850"/>
            <wp:effectExtent l="19050" t="0" r="9525" b="0"/>
            <wp:wrapNone/>
            <wp:docPr id="3" name="Picture 1" descr="https://syndetics.com/index.aspx?isbn=9781774882306/LC.gif&amp;client=416-978-76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yndetics.com/index.aspx?isbn=9781774882306/LC.gif&amp;client=416-978-763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color w:val="000000"/>
          <w:sz w:val="28"/>
          <w:szCs w:val="28"/>
        </w:rPr>
        <w:tab/>
      </w:r>
      <w:r>
        <w:rPr>
          <w:rFonts w:ascii="Verdana" w:hAnsi="Verdana"/>
          <w:color w:val="000000"/>
          <w:sz w:val="28"/>
          <w:szCs w:val="28"/>
        </w:rPr>
        <w:tab/>
      </w:r>
      <w:r>
        <w:rPr>
          <w:rFonts w:ascii="Verdana" w:hAnsi="Verdana"/>
          <w:color w:val="000000"/>
          <w:sz w:val="28"/>
          <w:szCs w:val="28"/>
        </w:rPr>
        <w:tab/>
      </w:r>
      <w:r w:rsidR="009256DA">
        <w:rPr>
          <w:noProof/>
          <w:lang w:val="en-CA" w:eastAsia="en-C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4867275</wp:posOffset>
            </wp:positionH>
            <wp:positionV relativeFrom="margin">
              <wp:posOffset>9525</wp:posOffset>
            </wp:positionV>
            <wp:extent cx="1114425" cy="1114425"/>
            <wp:effectExtent l="0" t="0" r="9525" b="9525"/>
            <wp:wrapNone/>
            <wp:docPr id="2" name="Picture 2" descr="https://forestofreading.com/wp-content/uploads/2021/07/06_FOR_Seals_White_Pine_RGB-150x1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orestofreading.com/wp-content/uploads/2021/07/06_FOR_Seals_White_Pine_RGB-150x15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color w:val="000000"/>
          <w:sz w:val="28"/>
          <w:szCs w:val="28"/>
        </w:rPr>
        <w:t>Lockjaw</w:t>
      </w:r>
    </w:p>
    <w:p w:rsidR="009256DA" w:rsidRPr="009256DA" w:rsidRDefault="005C21F5" w:rsidP="005C21F5">
      <w:pPr>
        <w:pStyle w:val="NormalWeb"/>
        <w:tabs>
          <w:tab w:val="left" w:pos="405"/>
          <w:tab w:val="left" w:pos="765"/>
        </w:tabs>
        <w:spacing w:before="0" w:beforeAutospacing="0" w:after="0" w:afterAutospacing="0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ab/>
      </w:r>
      <w:r>
        <w:rPr>
          <w:rFonts w:ascii="Verdana" w:hAnsi="Verdana"/>
          <w:color w:val="000000"/>
          <w:sz w:val="28"/>
          <w:szCs w:val="28"/>
        </w:rPr>
        <w:tab/>
      </w:r>
    </w:p>
    <w:p w:rsidR="009256DA" w:rsidRPr="009256DA" w:rsidRDefault="005C21F5" w:rsidP="005C21F5">
      <w:pPr>
        <w:pStyle w:val="NormalWeb"/>
        <w:tabs>
          <w:tab w:val="left" w:pos="330"/>
        </w:tabs>
        <w:spacing w:before="0" w:beforeAutospacing="0" w:after="0" w:afterAutospacing="0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ab/>
      </w:r>
    </w:p>
    <w:p w:rsidR="009256DA" w:rsidRPr="009256DA" w:rsidRDefault="005C21F5" w:rsidP="005C21F5">
      <w:pPr>
        <w:pStyle w:val="NormalWeb"/>
        <w:tabs>
          <w:tab w:val="left" w:pos="885"/>
          <w:tab w:val="center" w:pos="4680"/>
        </w:tabs>
        <w:spacing w:before="0" w:beforeAutospacing="0" w:after="0" w:afterAutospacing="0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ab/>
      </w:r>
      <w:r>
        <w:rPr>
          <w:rFonts w:ascii="Verdana" w:hAnsi="Verdana"/>
          <w:color w:val="000000"/>
          <w:sz w:val="28"/>
          <w:szCs w:val="28"/>
        </w:rPr>
        <w:tab/>
      </w:r>
      <w:r w:rsidR="009256DA" w:rsidRPr="009256DA">
        <w:rPr>
          <w:rFonts w:ascii="Verdana" w:hAnsi="Verdana"/>
          <w:color w:val="000000"/>
          <w:sz w:val="28"/>
          <w:szCs w:val="28"/>
        </w:rPr>
        <w:t>Activity #</w:t>
      </w:r>
      <w:r w:rsidR="00EE4C6F">
        <w:rPr>
          <w:rFonts w:ascii="Verdana" w:hAnsi="Verdana"/>
          <w:color w:val="000000"/>
          <w:sz w:val="28"/>
          <w:szCs w:val="28"/>
        </w:rPr>
        <w:t>4</w:t>
      </w:r>
      <w:r w:rsidR="009256DA" w:rsidRPr="009256DA">
        <w:rPr>
          <w:rFonts w:ascii="Verdana" w:hAnsi="Verdana"/>
          <w:color w:val="000000"/>
          <w:sz w:val="28"/>
          <w:szCs w:val="28"/>
        </w:rPr>
        <w:t xml:space="preserve"> –</w:t>
      </w:r>
      <w:r w:rsidR="00EE4C6F">
        <w:rPr>
          <w:rFonts w:ascii="Verdana" w:hAnsi="Verdana"/>
          <w:color w:val="000000"/>
          <w:sz w:val="28"/>
          <w:szCs w:val="28"/>
        </w:rPr>
        <w:t xml:space="preserve"> </w:t>
      </w:r>
      <w:r w:rsidR="00D41FB7">
        <w:rPr>
          <w:rFonts w:ascii="Verdana" w:hAnsi="Verdana"/>
          <w:color w:val="000000"/>
          <w:sz w:val="28"/>
          <w:szCs w:val="28"/>
        </w:rPr>
        <w:t>Design Activity</w:t>
      </w:r>
      <w:r w:rsidR="009256DA" w:rsidRPr="009256DA">
        <w:rPr>
          <w:rFonts w:ascii="Verdana" w:hAnsi="Verdana"/>
          <w:color w:val="000000"/>
          <w:sz w:val="28"/>
          <w:szCs w:val="28"/>
        </w:rPr>
        <w:t xml:space="preserve"> </w:t>
      </w:r>
    </w:p>
    <w:p w:rsidR="00CA386C" w:rsidRDefault="005C21F5" w:rsidP="005C21F5">
      <w:pPr>
        <w:tabs>
          <w:tab w:val="left" w:pos="285"/>
          <w:tab w:val="left" w:pos="660"/>
        </w:tabs>
        <w:rPr>
          <w:rFonts w:ascii="Noto Sans" w:hAnsi="Noto Sans" w:cs="Noto Sans"/>
          <w:sz w:val="28"/>
          <w:szCs w:val="28"/>
        </w:rPr>
      </w:pPr>
      <w:r>
        <w:rPr>
          <w:rFonts w:ascii="Noto Sans" w:hAnsi="Noto Sans" w:cs="Noto Sans"/>
          <w:sz w:val="28"/>
          <w:szCs w:val="28"/>
        </w:rPr>
        <w:tab/>
      </w:r>
      <w:r>
        <w:rPr>
          <w:rFonts w:ascii="Noto Sans" w:hAnsi="Noto Sans" w:cs="Noto Sans"/>
          <w:sz w:val="28"/>
          <w:szCs w:val="28"/>
        </w:rPr>
        <w:tab/>
      </w:r>
    </w:p>
    <w:p w:rsidR="009256DA" w:rsidRDefault="009256DA" w:rsidP="005C21F5">
      <w:pPr>
        <w:rPr>
          <w:rFonts w:ascii="Noto Sans" w:hAnsi="Noto Sans" w:cs="Noto Sans"/>
          <w:sz w:val="28"/>
          <w:szCs w:val="28"/>
        </w:rPr>
      </w:pPr>
    </w:p>
    <w:p w:rsidR="009256DA" w:rsidRDefault="009256DA" w:rsidP="009256DA">
      <w:pPr>
        <w:jc w:val="center"/>
        <w:rPr>
          <w:rFonts w:ascii="Noto Sans" w:hAnsi="Noto Sans" w:cs="Noto Sans"/>
          <w:sz w:val="28"/>
          <w:szCs w:val="28"/>
        </w:rPr>
      </w:pPr>
    </w:p>
    <w:p w:rsidR="005C21F5" w:rsidRDefault="005C21F5" w:rsidP="00474CBD">
      <w:pPr>
        <w:rPr>
          <w:rFonts w:ascii="Noto Sans" w:hAnsi="Noto Sans" w:cs="Noto Sans"/>
          <w:sz w:val="28"/>
          <w:szCs w:val="28"/>
        </w:rPr>
      </w:pPr>
    </w:p>
    <w:p w:rsidR="00D41FB7" w:rsidRDefault="00D41FB7" w:rsidP="00D41FB7">
      <w:pPr>
        <w:rPr>
          <w:rFonts w:ascii="Noto Sans" w:hAnsi="Noto Sans" w:cs="Noto Sans"/>
          <w:sz w:val="28"/>
          <w:szCs w:val="28"/>
        </w:rPr>
      </w:pPr>
      <w:r>
        <w:rPr>
          <w:rFonts w:ascii="Noto Sans" w:hAnsi="Noto Sans" w:cs="Noto Sans"/>
          <w:sz w:val="28"/>
          <w:szCs w:val="28"/>
        </w:rPr>
        <w:t>Asher is a trans teen who has left his home. The exact details are never explained but as readers, we can infer it was not a welcome living situation. While he finds himself in terrifying ordeals, both from his lack of resources and from the monster in the town, his story doe</w:t>
      </w:r>
      <w:r w:rsidR="009657A2">
        <w:rPr>
          <w:rFonts w:ascii="Noto Sans" w:hAnsi="Noto Sans" w:cs="Noto Sans"/>
          <w:sz w:val="28"/>
          <w:szCs w:val="28"/>
        </w:rPr>
        <w:t>s end on a very hopeful note</w:t>
      </w:r>
      <w:r>
        <w:rPr>
          <w:rFonts w:ascii="Noto Sans" w:hAnsi="Noto Sans" w:cs="Noto Sans"/>
          <w:sz w:val="28"/>
          <w:szCs w:val="28"/>
        </w:rPr>
        <w:t>.</w:t>
      </w:r>
    </w:p>
    <w:p w:rsidR="00E82C52" w:rsidRDefault="00E82C52" w:rsidP="00D41FB7">
      <w:pPr>
        <w:rPr>
          <w:rFonts w:ascii="Noto Sans" w:hAnsi="Noto Sans" w:cs="Noto Sans"/>
          <w:sz w:val="28"/>
          <w:szCs w:val="28"/>
        </w:rPr>
      </w:pPr>
      <w:r>
        <w:rPr>
          <w:rFonts w:ascii="Noto Sans" w:hAnsi="Noto Sans" w:cs="Noto Sans"/>
          <w:sz w:val="28"/>
          <w:szCs w:val="28"/>
        </w:rPr>
        <w:t>While the research and data is lacking, governments and organizations assisting 2SLGBTQ+ youth recognize that youth homelessness is a growing concern and that youth who identify as 2SLGBTQ+ often face additional housing concerns and barriers to safe housing.</w:t>
      </w:r>
    </w:p>
    <w:p w:rsidR="004D3D4F" w:rsidRDefault="007943A1" w:rsidP="00474CBD">
      <w:pPr>
        <w:rPr>
          <w:rFonts w:ascii="Noto Sans" w:hAnsi="Noto Sans" w:cs="Noto Sans"/>
          <w:sz w:val="28"/>
          <w:szCs w:val="28"/>
        </w:rPr>
      </w:pPr>
      <w:proofErr w:type="spellStart"/>
      <w:r>
        <w:rPr>
          <w:rFonts w:ascii="Noto Sans" w:hAnsi="Noto Sans" w:cs="Noto Sans"/>
          <w:sz w:val="28"/>
          <w:szCs w:val="28"/>
        </w:rPr>
        <w:t>Infographics</w:t>
      </w:r>
      <w:proofErr w:type="spellEnd"/>
      <w:r>
        <w:rPr>
          <w:rFonts w:ascii="Noto Sans" w:hAnsi="Noto Sans" w:cs="Noto Sans"/>
          <w:sz w:val="28"/>
          <w:szCs w:val="28"/>
        </w:rPr>
        <w:t xml:space="preserve"> can be a helpful tool to educate others about social issues. Social media campaigns are another useful t</w:t>
      </w:r>
      <w:r w:rsidR="009657A2">
        <w:rPr>
          <w:rFonts w:ascii="Noto Sans" w:hAnsi="Noto Sans" w:cs="Noto Sans"/>
          <w:sz w:val="28"/>
          <w:szCs w:val="28"/>
        </w:rPr>
        <w:t>ool to spread information quickly</w:t>
      </w:r>
      <w:r>
        <w:rPr>
          <w:rFonts w:ascii="Noto Sans" w:hAnsi="Noto Sans" w:cs="Noto Sans"/>
          <w:sz w:val="28"/>
          <w:szCs w:val="28"/>
        </w:rPr>
        <w:t xml:space="preserve">. Using resources available to you, research organizations or groups that are working to assist youth experiencing homelessness, either in your community or </w:t>
      </w:r>
      <w:r w:rsidR="009657A2">
        <w:rPr>
          <w:rFonts w:ascii="Noto Sans" w:hAnsi="Noto Sans" w:cs="Noto Sans"/>
          <w:sz w:val="28"/>
          <w:szCs w:val="28"/>
        </w:rPr>
        <w:t>with</w:t>
      </w:r>
      <w:r>
        <w:rPr>
          <w:rFonts w:ascii="Noto Sans" w:hAnsi="Noto Sans" w:cs="Noto Sans"/>
          <w:sz w:val="28"/>
          <w:szCs w:val="28"/>
        </w:rPr>
        <w:t xml:space="preserve">in Canada. Design and create a poster that educates others about this issue. </w:t>
      </w:r>
    </w:p>
    <w:p w:rsidR="007943A1" w:rsidRDefault="007943A1" w:rsidP="00474CBD">
      <w:pPr>
        <w:rPr>
          <w:rFonts w:ascii="Noto Sans" w:hAnsi="Noto Sans" w:cs="Noto Sans"/>
          <w:sz w:val="28"/>
          <w:szCs w:val="28"/>
        </w:rPr>
      </w:pPr>
      <w:r>
        <w:rPr>
          <w:rFonts w:ascii="Noto Sans" w:hAnsi="Noto Sans" w:cs="Noto Sans"/>
          <w:sz w:val="28"/>
          <w:szCs w:val="28"/>
        </w:rPr>
        <w:t xml:space="preserve">To help you start, you can check out The519, a Toronto based organization serving the 2SLGBTQ+ community. They have some </w:t>
      </w:r>
      <w:proofErr w:type="spellStart"/>
      <w:r>
        <w:rPr>
          <w:rFonts w:ascii="Noto Sans" w:hAnsi="Noto Sans" w:cs="Noto Sans"/>
          <w:sz w:val="28"/>
          <w:szCs w:val="28"/>
        </w:rPr>
        <w:t>infographics</w:t>
      </w:r>
      <w:proofErr w:type="spellEnd"/>
      <w:r>
        <w:rPr>
          <w:rFonts w:ascii="Noto Sans" w:hAnsi="Noto Sans" w:cs="Noto Sans"/>
          <w:sz w:val="28"/>
          <w:szCs w:val="28"/>
        </w:rPr>
        <w:t xml:space="preserve"> that</w:t>
      </w:r>
      <w:r w:rsidR="009657A2">
        <w:rPr>
          <w:rFonts w:ascii="Noto Sans" w:hAnsi="Noto Sans" w:cs="Noto Sans"/>
          <w:sz w:val="28"/>
          <w:szCs w:val="28"/>
        </w:rPr>
        <w:t xml:space="preserve"> are </w:t>
      </w:r>
      <w:r>
        <w:rPr>
          <w:rFonts w:ascii="Noto Sans" w:hAnsi="Noto Sans" w:cs="Noto Sans"/>
          <w:sz w:val="28"/>
          <w:szCs w:val="28"/>
        </w:rPr>
        <w:t>accessible through their website, with</w:t>
      </w:r>
      <w:r w:rsidR="009657A2">
        <w:rPr>
          <w:rFonts w:ascii="Noto Sans" w:hAnsi="Noto Sans" w:cs="Noto Sans"/>
          <w:sz w:val="28"/>
          <w:szCs w:val="28"/>
        </w:rPr>
        <w:t xml:space="preserve"> a direct link</w:t>
      </w:r>
      <w:r>
        <w:rPr>
          <w:rFonts w:ascii="Noto Sans" w:hAnsi="Noto Sans" w:cs="Noto Sans"/>
          <w:sz w:val="28"/>
          <w:szCs w:val="28"/>
        </w:rPr>
        <w:t xml:space="preserve"> below:</w:t>
      </w:r>
    </w:p>
    <w:p w:rsidR="007943A1" w:rsidRDefault="007943A1" w:rsidP="00474CBD">
      <w:pPr>
        <w:rPr>
          <w:rFonts w:ascii="Noto Sans" w:hAnsi="Noto Sans" w:cs="Noto Sans"/>
          <w:sz w:val="28"/>
          <w:szCs w:val="28"/>
        </w:rPr>
      </w:pPr>
    </w:p>
    <w:p w:rsidR="007943A1" w:rsidRDefault="00BA5B00" w:rsidP="00474CBD">
      <w:pPr>
        <w:rPr>
          <w:rFonts w:ascii="Noto Sans" w:hAnsi="Noto Sans" w:cs="Noto Sans"/>
          <w:sz w:val="28"/>
          <w:szCs w:val="28"/>
        </w:rPr>
      </w:pPr>
      <w:hyperlink r:id="rId8" w:history="1">
        <w:r w:rsidR="007943A1" w:rsidRPr="001F2433">
          <w:rPr>
            <w:rStyle w:val="Hyperlink"/>
            <w:rFonts w:ascii="Noto Sans" w:hAnsi="Noto Sans" w:cs="Noto Sans"/>
            <w:sz w:val="28"/>
            <w:szCs w:val="28"/>
          </w:rPr>
          <w:t>https://www.the519.org/education-training/lgbtq2s-youth-homelessness-in-canada/</w:t>
        </w:r>
      </w:hyperlink>
    </w:p>
    <w:p w:rsidR="004D3D4F" w:rsidRPr="00474CBD" w:rsidRDefault="004D3D4F" w:rsidP="00474CBD">
      <w:pPr>
        <w:rPr>
          <w:rFonts w:ascii="Noto Sans" w:hAnsi="Noto Sans" w:cs="Noto Sans"/>
          <w:sz w:val="28"/>
          <w:szCs w:val="28"/>
        </w:rPr>
      </w:pPr>
    </w:p>
    <w:sectPr w:rsidR="004D3D4F" w:rsidRPr="00474CBD" w:rsidSect="00B933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oto Sans">
    <w:altName w:val="Arial"/>
    <w:charset w:val="00"/>
    <w:family w:val="swiss"/>
    <w:pitch w:val="variable"/>
    <w:sig w:usb0="00000001" w:usb1="4000201F" w:usb2="0800002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553489"/>
    <w:multiLevelType w:val="hybridMultilevel"/>
    <w:tmpl w:val="8D4AC3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  <w:useFELayout/>
  </w:compat>
  <w:rsids>
    <w:rsidRoot w:val="009256DA"/>
    <w:rsid w:val="00194112"/>
    <w:rsid w:val="0043670E"/>
    <w:rsid w:val="00474CBD"/>
    <w:rsid w:val="004C3A23"/>
    <w:rsid w:val="004D3D4F"/>
    <w:rsid w:val="00586549"/>
    <w:rsid w:val="005945BF"/>
    <w:rsid w:val="005C21F5"/>
    <w:rsid w:val="00765A89"/>
    <w:rsid w:val="007943A1"/>
    <w:rsid w:val="008F1232"/>
    <w:rsid w:val="009256DA"/>
    <w:rsid w:val="009657A2"/>
    <w:rsid w:val="00975B7C"/>
    <w:rsid w:val="00A24BDC"/>
    <w:rsid w:val="00A57935"/>
    <w:rsid w:val="00A847AB"/>
    <w:rsid w:val="00B9330C"/>
    <w:rsid w:val="00B96E9C"/>
    <w:rsid w:val="00BA5B00"/>
    <w:rsid w:val="00C57B89"/>
    <w:rsid w:val="00C81A6E"/>
    <w:rsid w:val="00D41FB7"/>
    <w:rsid w:val="00E15F93"/>
    <w:rsid w:val="00E41C54"/>
    <w:rsid w:val="00E82C52"/>
    <w:rsid w:val="00EB2735"/>
    <w:rsid w:val="00EE4C6F"/>
    <w:rsid w:val="00F43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3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25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256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2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1F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943A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7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519.org/education-training/lgbtq2s-youth-homelessness-in-canada/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F33B2-5E89-4E0F-A48B-2CD12E37B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TPL Mobile Tech</dc:creator>
  <cp:lastModifiedBy>Kara</cp:lastModifiedBy>
  <cp:revision>5</cp:revision>
  <cp:lastPrinted>2024-11-06T00:00:00Z</cp:lastPrinted>
  <dcterms:created xsi:type="dcterms:W3CDTF">2024-11-05T20:02:00Z</dcterms:created>
  <dcterms:modified xsi:type="dcterms:W3CDTF">2024-11-06T00:01:00Z</dcterms:modified>
</cp:coreProperties>
</file>